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7098CA" w14:textId="77777777" w:rsidR="00D73052" w:rsidRDefault="00000000">
      <w:pPr>
        <w:pStyle w:val="TSP31text"/>
        <w:ind w:firstLine="0"/>
        <w:jc w:val="center"/>
        <w:rPr>
          <w:rFonts w:ascii="Times New Roman" w:eastAsia="等线" w:hAnsi="Times New Roman"/>
          <w:sz w:val="24"/>
          <w:szCs w:val="24"/>
          <w:lang w:eastAsia="zh-CN"/>
        </w:rPr>
      </w:pPr>
      <w:r>
        <w:rPr>
          <w:rFonts w:ascii="Times New Roman" w:eastAsia="等线" w:hAnsi="Times New Roman" w:hint="eastAsia"/>
          <w:noProof/>
          <w:sz w:val="24"/>
          <w:szCs w:val="24"/>
          <w:lang w:eastAsia="zh-CN"/>
        </w:rPr>
        <w:drawing>
          <wp:inline distT="0" distB="0" distL="114300" distR="114300" wp14:anchorId="51DD35AF" wp14:editId="2E615A55">
            <wp:extent cx="6299835" cy="2689225"/>
            <wp:effectExtent l="0" t="0" r="9525" b="0"/>
            <wp:docPr id="6" name="图片 1" descr="Suppementary Figure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Suppementary Figure S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6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262EA" w14:textId="77777777" w:rsidR="00D73052" w:rsidRDefault="00D73052">
      <w:pPr>
        <w:pStyle w:val="TSP31text"/>
        <w:ind w:firstLine="0"/>
        <w:jc w:val="center"/>
        <w:rPr>
          <w:rFonts w:ascii="Times New Roman" w:eastAsia="等线" w:hAnsi="Times New Roman"/>
          <w:sz w:val="24"/>
          <w:szCs w:val="24"/>
          <w:lang w:eastAsia="zh-CN"/>
        </w:rPr>
      </w:pPr>
    </w:p>
    <w:p w14:paraId="6EB96334" w14:textId="77777777" w:rsidR="00D73052" w:rsidRDefault="00000000">
      <w:pPr>
        <w:pStyle w:val="TSP31text"/>
        <w:ind w:firstLine="0"/>
        <w:rPr>
          <w:rFonts w:eastAsia="宋体"/>
          <w:sz w:val="20"/>
          <w:szCs w:val="20"/>
          <w:lang w:eastAsia="zh-CN"/>
        </w:rPr>
      </w:pPr>
      <w:r>
        <w:rPr>
          <w:rFonts w:eastAsia="宋体"/>
          <w:b/>
          <w:bCs/>
          <w:sz w:val="20"/>
          <w:szCs w:val="20"/>
          <w:lang w:eastAsia="en-US"/>
        </w:rPr>
        <w:t>Supplementary Figure S1</w:t>
      </w:r>
      <w:r>
        <w:rPr>
          <w:rFonts w:eastAsia="宋体"/>
          <w:sz w:val="20"/>
          <w:szCs w:val="20"/>
          <w:lang w:eastAsia="en-US"/>
        </w:rPr>
        <w:t xml:space="preserve">. </w:t>
      </w:r>
      <w:r>
        <w:rPr>
          <w:sz w:val="20"/>
          <w:szCs w:val="20"/>
          <w:lang w:eastAsia="zh-CN"/>
        </w:rPr>
        <w:t>Representative dot plots for analyses of CD69 and CD71 expression in T lymphocytes. (A) Proportions of CD69</w:t>
      </w:r>
      <w:r>
        <w:rPr>
          <w:sz w:val="20"/>
          <w:szCs w:val="20"/>
          <w:vertAlign w:val="superscript"/>
          <w:lang w:eastAsia="zh-CN"/>
        </w:rPr>
        <w:t>+</w:t>
      </w:r>
      <w:r>
        <w:rPr>
          <w:sz w:val="20"/>
          <w:szCs w:val="20"/>
          <w:lang w:eastAsia="zh-CN"/>
        </w:rPr>
        <w:t xml:space="preserve"> cells in T lymphocytes. (B) MFI of CD71 in T </w:t>
      </w:r>
      <w:r>
        <w:rPr>
          <w:rFonts w:eastAsia="宋体"/>
          <w:sz w:val="20"/>
          <w:szCs w:val="20"/>
          <w:lang w:eastAsia="zh-CN"/>
        </w:rPr>
        <w:t>lymphocytes. MFI, mean fluorescence intensity</w:t>
      </w:r>
    </w:p>
    <w:p w14:paraId="591FA492" w14:textId="77777777" w:rsidR="00D73052" w:rsidRDefault="00D73052">
      <w:pPr>
        <w:pStyle w:val="TSP31text"/>
        <w:ind w:firstLine="0"/>
        <w:jc w:val="left"/>
        <w:rPr>
          <w:rFonts w:eastAsia="宋体"/>
          <w:sz w:val="20"/>
          <w:szCs w:val="20"/>
          <w:lang w:eastAsia="en-US"/>
        </w:rPr>
      </w:pPr>
    </w:p>
    <w:p w14:paraId="2DF9576C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519B90AB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5809C012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091A451D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4FDA2374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7E8F02A3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4F651DD3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7536162B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36FD6CC1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3341E8C7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028BEAC5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4CBA3E30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1FF0A13E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D667DEB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0FF99BA2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75D441AF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AE8BA60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7D42F2FA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0C7055A3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4C920895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19602914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19149BCA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46A95EB6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AA34D26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15D38D43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FDF10BD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5B9214D9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0E36C225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5C2BBD6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7AACFBFF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594C5E1F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61C3A819" w14:textId="77777777" w:rsidR="00D73052" w:rsidRDefault="00D73052">
      <w:pPr>
        <w:pStyle w:val="NormalWeb"/>
        <w:adjustRightInd w:val="0"/>
        <w:snapToGrid w:val="0"/>
        <w:spacing w:line="228" w:lineRule="auto"/>
      </w:pPr>
    </w:p>
    <w:p w14:paraId="2A14A2F2" w14:textId="77777777" w:rsidR="00D73052" w:rsidRDefault="00000000">
      <w:pPr>
        <w:pStyle w:val="NormalWeb"/>
        <w:adjustRightInd w:val="0"/>
        <w:snapToGrid w:val="0"/>
        <w:spacing w:line="228" w:lineRule="auto"/>
        <w:rPr>
          <w:rFonts w:ascii="Times New Roman" w:eastAsia="等线" w:hAnsi="Times New Roman"/>
          <w:sz w:val="24"/>
        </w:rPr>
      </w:pPr>
      <w:r>
        <w:rPr>
          <w:rFonts w:ascii="Times New Roman" w:eastAsia="等线" w:hAnsi="Times New Roman" w:hint="eastAsia"/>
          <w:noProof/>
          <w:sz w:val="24"/>
        </w:rPr>
        <w:drawing>
          <wp:inline distT="0" distB="0" distL="114300" distR="114300" wp14:anchorId="67D34DF6" wp14:editId="3062C377">
            <wp:extent cx="5937885" cy="3613785"/>
            <wp:effectExtent l="0" t="0" r="5715" b="0"/>
            <wp:docPr id="12" name="图片 2" descr="Supplementary Figure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Supplementary Figure S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BEBE9" w14:textId="77777777" w:rsidR="00D73052" w:rsidRDefault="00D73052">
      <w:pPr>
        <w:pStyle w:val="NormalWeb"/>
        <w:adjustRightInd w:val="0"/>
        <w:snapToGrid w:val="0"/>
        <w:spacing w:line="228" w:lineRule="auto"/>
        <w:rPr>
          <w:rFonts w:ascii="Times New Roman" w:eastAsia="等线" w:hAnsi="Times New Roman"/>
          <w:sz w:val="24"/>
        </w:rPr>
      </w:pPr>
    </w:p>
    <w:p w14:paraId="68564D37" w14:textId="77777777" w:rsidR="00D73052" w:rsidRDefault="00000000">
      <w:pPr>
        <w:pStyle w:val="NormalWeb"/>
        <w:adjustRightInd w:val="0"/>
        <w:snapToGrid w:val="0"/>
        <w:spacing w:line="228" w:lineRule="auto"/>
        <w:rPr>
          <w:snapToGrid w:val="0"/>
          <w:sz w:val="22"/>
          <w:szCs w:val="22"/>
          <w:lang w:eastAsia="en-US" w:bidi="en-US"/>
        </w:rPr>
      </w:pPr>
      <w:r>
        <w:rPr>
          <w:rFonts w:hint="eastAsia"/>
          <w:b/>
          <w:bCs/>
          <w:snapToGrid w:val="0"/>
          <w:szCs w:val="20"/>
          <w:lang w:bidi="en-US"/>
        </w:rPr>
        <w:t>Supplementary Figure S2</w:t>
      </w:r>
      <w:r>
        <w:rPr>
          <w:rFonts w:hint="eastAsia"/>
          <w:snapToGrid w:val="0"/>
          <w:szCs w:val="20"/>
          <w:lang w:bidi="en-US"/>
        </w:rPr>
        <w:t>. Representative dot plots for flow cytometry analyses of T-lymphocyt apoptosis and proportions. (A) Proportions of apoptotic cells in T lymphocytes. (B) Proportions of T lymphocytes in the spleen. (C) Proportions of CD4</w:t>
      </w:r>
      <w:r>
        <w:rPr>
          <w:rFonts w:hint="eastAsia"/>
          <w:snapToGrid w:val="0"/>
          <w:szCs w:val="20"/>
          <w:vertAlign w:val="superscript"/>
          <w:lang w:bidi="en-US"/>
        </w:rPr>
        <w:t>+</w:t>
      </w:r>
      <w:r>
        <w:rPr>
          <w:rFonts w:hint="eastAsia"/>
          <w:snapToGrid w:val="0"/>
          <w:szCs w:val="20"/>
          <w:lang w:bidi="en-US"/>
        </w:rPr>
        <w:t xml:space="preserve"> and CD8</w:t>
      </w:r>
      <w:r>
        <w:rPr>
          <w:rFonts w:hint="eastAsia"/>
          <w:snapToGrid w:val="0"/>
          <w:szCs w:val="20"/>
          <w:vertAlign w:val="superscript"/>
          <w:lang w:bidi="en-US"/>
        </w:rPr>
        <w:t>+</w:t>
      </w:r>
      <w:r>
        <w:rPr>
          <w:rFonts w:hint="eastAsia"/>
          <w:snapToGrid w:val="0"/>
          <w:szCs w:val="20"/>
          <w:lang w:bidi="en-US"/>
        </w:rPr>
        <w:t xml:space="preserve"> cells in T lymphocytes.</w:t>
      </w:r>
    </w:p>
    <w:sectPr w:rsidR="00D73052" w:rsidSect="00640D39">
      <w:headerReference w:type="default" r:id="rId9"/>
      <w:type w:val="continuous"/>
      <w:pgSz w:w="12242" w:h="15842"/>
      <w:pgMar w:top="1440" w:right="1440" w:bottom="1440" w:left="1440" w:header="1020" w:footer="624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CE744D" w14:textId="77777777" w:rsidR="00FE1974" w:rsidRDefault="00FE1974">
      <w:pPr>
        <w:spacing w:line="240" w:lineRule="auto"/>
      </w:pPr>
      <w:r>
        <w:separator/>
      </w:r>
    </w:p>
  </w:endnote>
  <w:endnote w:type="continuationSeparator" w:id="0">
    <w:p w14:paraId="1098D8A5" w14:textId="77777777" w:rsidR="00FE1974" w:rsidRDefault="00FE197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ordia New">
    <w:panose1 w:val="020B0304020202020204"/>
    <w:charset w:val="DE"/>
    <w:family w:val="swiss"/>
    <w:pitch w:val="default"/>
    <w:sig w:usb0="00000000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ABFE5A" w14:textId="77777777" w:rsidR="00FE1974" w:rsidRDefault="00FE1974">
      <w:pPr>
        <w:spacing w:line="240" w:lineRule="auto"/>
      </w:pPr>
      <w:r>
        <w:separator/>
      </w:r>
    </w:p>
  </w:footnote>
  <w:footnote w:type="continuationSeparator" w:id="0">
    <w:p w14:paraId="2123C426" w14:textId="77777777" w:rsidR="00FE1974" w:rsidRDefault="00FE197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AA40C" w14:textId="77777777" w:rsidR="00D73052" w:rsidRDefault="00000000">
    <w:pPr>
      <w:pStyle w:val="TSPheader"/>
    </w:pPr>
    <w:r>
      <w:t>BIOCELL. 202</w:t>
    </w:r>
    <w:r>
      <w:rPr>
        <w:rFonts w:eastAsiaTheme="minorEastAsia" w:hint="eastAsia"/>
        <w:lang w:eastAsia="zh-CN"/>
      </w:rPr>
      <w:t>5</w:t>
    </w:r>
    <w:r>
      <w:t>;</w:t>
    </w:r>
    <w:r>
      <w:rPr>
        <w:rFonts w:hint="eastAsia"/>
      </w:rPr>
      <w:t>volume(</w:t>
    </w:r>
    <w:r>
      <w:t>issue)</w:t>
    </w:r>
    <w:r>
      <w:ptab w:relativeTo="margin" w:alignment="right" w:leader="none"/>
    </w:r>
    <w:r>
      <w:fldChar w:fldCharType="begin"/>
    </w:r>
    <w:r>
      <w:instrText xml:space="preserve"> PAGE   \* MERGEFORMAT </w:instrText>
    </w:r>
    <w:r>
      <w:fldChar w:fldCharType="separate"/>
    </w:r>
    <w:r>
      <w:t>3</w:t>
    </w:r>
    <w:r>
      <w:fldChar w:fldCharType="end"/>
    </w:r>
  </w:p>
  <w:p w14:paraId="06641CD5" w14:textId="77777777" w:rsidR="00D73052" w:rsidRDefault="00D73052">
    <w:pPr>
      <w:tabs>
        <w:tab w:val="left" w:pos="8335"/>
      </w:tabs>
      <w:spacing w:after="240" w:line="100" w:lineRule="atLeast"/>
      <w:rPr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multilevel"/>
    <w:tmpl w:val="18B468F5"/>
    <w:lvl w:ilvl="0">
      <w:start w:val="1"/>
      <w:numFmt w:val="bullet"/>
      <w:pStyle w:val="TSP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multilevel"/>
    <w:tmpl w:val="1952085B"/>
    <w:lvl w:ilvl="0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012E46"/>
    <w:multiLevelType w:val="multilevel"/>
    <w:tmpl w:val="70012E46"/>
    <w:lvl w:ilvl="0">
      <w:start w:val="1"/>
      <w:numFmt w:val="decimal"/>
      <w:pStyle w:val="TSP71References"/>
      <w:lvlText w:val="%1."/>
      <w:lvlJc w:val="left"/>
      <w:pPr>
        <w:ind w:left="360" w:hanging="360"/>
      </w:pPr>
      <w:rPr>
        <w:rFonts w:hint="eastAsia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6311A3B"/>
    <w:multiLevelType w:val="multilevel"/>
    <w:tmpl w:val="76311A3B"/>
    <w:lvl w:ilvl="0">
      <w:start w:val="1"/>
      <w:numFmt w:val="decimal"/>
      <w:pStyle w:val="TSP37itemize"/>
      <w:lvlText w:val="%1."/>
      <w:lvlJc w:val="left"/>
      <w:pPr>
        <w:tabs>
          <w:tab w:val="left" w:pos="0"/>
        </w:tabs>
        <w:ind w:left="1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vertAlign w:val="baseline"/>
      </w:rPr>
    </w:lvl>
    <w:lvl w:ilvl="1">
      <w:start w:val="1"/>
      <w:numFmt w:val="lowerLetter"/>
      <w:lvlText w:val="%2."/>
      <w:lvlJc w:val="left"/>
      <w:pPr>
        <w:ind w:left="5048" w:hanging="360"/>
      </w:pPr>
    </w:lvl>
    <w:lvl w:ilvl="2">
      <w:start w:val="1"/>
      <w:numFmt w:val="lowerRoman"/>
      <w:lvlText w:val="%3."/>
      <w:lvlJc w:val="right"/>
      <w:pPr>
        <w:ind w:left="5768" w:hanging="180"/>
      </w:pPr>
    </w:lvl>
    <w:lvl w:ilvl="3">
      <w:start w:val="1"/>
      <w:numFmt w:val="decimal"/>
      <w:lvlText w:val="%4."/>
      <w:lvlJc w:val="left"/>
      <w:pPr>
        <w:ind w:left="6488" w:hanging="360"/>
      </w:pPr>
    </w:lvl>
    <w:lvl w:ilvl="4">
      <w:start w:val="1"/>
      <w:numFmt w:val="lowerLetter"/>
      <w:lvlText w:val="%5."/>
      <w:lvlJc w:val="left"/>
      <w:pPr>
        <w:ind w:left="7208" w:hanging="360"/>
      </w:pPr>
    </w:lvl>
    <w:lvl w:ilvl="5">
      <w:start w:val="1"/>
      <w:numFmt w:val="lowerRoman"/>
      <w:lvlText w:val="%6."/>
      <w:lvlJc w:val="right"/>
      <w:pPr>
        <w:ind w:left="7928" w:hanging="180"/>
      </w:pPr>
    </w:lvl>
    <w:lvl w:ilvl="6">
      <w:start w:val="1"/>
      <w:numFmt w:val="decimal"/>
      <w:lvlText w:val="%7."/>
      <w:lvlJc w:val="left"/>
      <w:pPr>
        <w:ind w:left="8648" w:hanging="360"/>
      </w:pPr>
    </w:lvl>
    <w:lvl w:ilvl="7">
      <w:start w:val="1"/>
      <w:numFmt w:val="lowerLetter"/>
      <w:lvlText w:val="%8."/>
      <w:lvlJc w:val="left"/>
      <w:pPr>
        <w:ind w:left="9368" w:hanging="360"/>
      </w:pPr>
    </w:lvl>
    <w:lvl w:ilvl="8">
      <w:start w:val="1"/>
      <w:numFmt w:val="lowerRoman"/>
      <w:lvlText w:val="%9."/>
      <w:lvlJc w:val="right"/>
      <w:pPr>
        <w:ind w:left="10088" w:hanging="180"/>
      </w:pPr>
    </w:lvl>
  </w:abstractNum>
  <w:num w:numId="1" w16cid:durableId="1908373450">
    <w:abstractNumId w:val="3"/>
  </w:num>
  <w:num w:numId="2" w16cid:durableId="1851407583">
    <w:abstractNumId w:val="0"/>
  </w:num>
  <w:num w:numId="3" w16cid:durableId="2042977872">
    <w:abstractNumId w:val="1"/>
  </w:num>
  <w:num w:numId="4" w16cid:durableId="14223348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510"/>
  <w:autoHyphenation/>
  <w:evenAndOddHeaders/>
  <w:drawingGridHorizontalSpacing w:val="100"/>
  <w:drawingGridVerticalSpacing w:val="163"/>
  <w:displayHorizontalDrawingGridEvery w:val="2"/>
  <w:displayVerticalDrawingGridEvery w:val="2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138ED"/>
    <w:rsid w:val="000213AC"/>
    <w:rsid w:val="000348D8"/>
    <w:rsid w:val="00035FC3"/>
    <w:rsid w:val="00042AF8"/>
    <w:rsid w:val="0004400E"/>
    <w:rsid w:val="00044BC6"/>
    <w:rsid w:val="00044C0A"/>
    <w:rsid w:val="0004721A"/>
    <w:rsid w:val="00053EBF"/>
    <w:rsid w:val="00066035"/>
    <w:rsid w:val="00074D05"/>
    <w:rsid w:val="0009213F"/>
    <w:rsid w:val="000A0F93"/>
    <w:rsid w:val="000B1F19"/>
    <w:rsid w:val="000B5171"/>
    <w:rsid w:val="000B74CE"/>
    <w:rsid w:val="000C151B"/>
    <w:rsid w:val="000C2465"/>
    <w:rsid w:val="000C504E"/>
    <w:rsid w:val="000C53B9"/>
    <w:rsid w:val="000D1C00"/>
    <w:rsid w:val="000F74CC"/>
    <w:rsid w:val="00120C0D"/>
    <w:rsid w:val="00123A57"/>
    <w:rsid w:val="001266E5"/>
    <w:rsid w:val="00127184"/>
    <w:rsid w:val="00141D45"/>
    <w:rsid w:val="00144467"/>
    <w:rsid w:val="0016006D"/>
    <w:rsid w:val="00167088"/>
    <w:rsid w:val="00167105"/>
    <w:rsid w:val="00172A27"/>
    <w:rsid w:val="001933FC"/>
    <w:rsid w:val="00194112"/>
    <w:rsid w:val="00196920"/>
    <w:rsid w:val="001A0192"/>
    <w:rsid w:val="001A1E76"/>
    <w:rsid w:val="001A39A0"/>
    <w:rsid w:val="001C75BF"/>
    <w:rsid w:val="001D349C"/>
    <w:rsid w:val="001D4D23"/>
    <w:rsid w:val="001E2AEB"/>
    <w:rsid w:val="001E4A07"/>
    <w:rsid w:val="001F5E55"/>
    <w:rsid w:val="0020081E"/>
    <w:rsid w:val="00205591"/>
    <w:rsid w:val="00206E80"/>
    <w:rsid w:val="00211F69"/>
    <w:rsid w:val="0021217E"/>
    <w:rsid w:val="002223FC"/>
    <w:rsid w:val="00222904"/>
    <w:rsid w:val="00240486"/>
    <w:rsid w:val="002432B5"/>
    <w:rsid w:val="00251800"/>
    <w:rsid w:val="002915FF"/>
    <w:rsid w:val="002946D9"/>
    <w:rsid w:val="002E1A04"/>
    <w:rsid w:val="002E255F"/>
    <w:rsid w:val="002F4A79"/>
    <w:rsid w:val="003040E0"/>
    <w:rsid w:val="00324292"/>
    <w:rsid w:val="00326141"/>
    <w:rsid w:val="00330316"/>
    <w:rsid w:val="00331431"/>
    <w:rsid w:val="003539E4"/>
    <w:rsid w:val="00357E10"/>
    <w:rsid w:val="00364C29"/>
    <w:rsid w:val="00370EC8"/>
    <w:rsid w:val="0037766B"/>
    <w:rsid w:val="00377F4F"/>
    <w:rsid w:val="003817A5"/>
    <w:rsid w:val="0038794D"/>
    <w:rsid w:val="00397AC9"/>
    <w:rsid w:val="003A15E9"/>
    <w:rsid w:val="003A774D"/>
    <w:rsid w:val="003A791E"/>
    <w:rsid w:val="003B7C96"/>
    <w:rsid w:val="003C241C"/>
    <w:rsid w:val="003C2630"/>
    <w:rsid w:val="003D2127"/>
    <w:rsid w:val="003D3232"/>
    <w:rsid w:val="003D7079"/>
    <w:rsid w:val="003E012D"/>
    <w:rsid w:val="003F0E95"/>
    <w:rsid w:val="003F1497"/>
    <w:rsid w:val="003F49FF"/>
    <w:rsid w:val="00401D30"/>
    <w:rsid w:val="004054FE"/>
    <w:rsid w:val="0041581F"/>
    <w:rsid w:val="0042484A"/>
    <w:rsid w:val="00425800"/>
    <w:rsid w:val="00425DAF"/>
    <w:rsid w:val="004340C2"/>
    <w:rsid w:val="00443AAF"/>
    <w:rsid w:val="0044577B"/>
    <w:rsid w:val="004504C9"/>
    <w:rsid w:val="004505CF"/>
    <w:rsid w:val="004669B4"/>
    <w:rsid w:val="0046725B"/>
    <w:rsid w:val="00471F5A"/>
    <w:rsid w:val="00475043"/>
    <w:rsid w:val="004A046F"/>
    <w:rsid w:val="004A346F"/>
    <w:rsid w:val="004D3B65"/>
    <w:rsid w:val="00501D0F"/>
    <w:rsid w:val="00506BC0"/>
    <w:rsid w:val="0051540B"/>
    <w:rsid w:val="0053256F"/>
    <w:rsid w:val="005332CC"/>
    <w:rsid w:val="005429B5"/>
    <w:rsid w:val="00557B4B"/>
    <w:rsid w:val="00562123"/>
    <w:rsid w:val="005664C6"/>
    <w:rsid w:val="00587214"/>
    <w:rsid w:val="005A044D"/>
    <w:rsid w:val="005A6A67"/>
    <w:rsid w:val="005B6005"/>
    <w:rsid w:val="005B7792"/>
    <w:rsid w:val="005C5DE8"/>
    <w:rsid w:val="00605718"/>
    <w:rsid w:val="00606DEF"/>
    <w:rsid w:val="006205C4"/>
    <w:rsid w:val="00625D37"/>
    <w:rsid w:val="00640712"/>
    <w:rsid w:val="00640D39"/>
    <w:rsid w:val="00644710"/>
    <w:rsid w:val="00645D18"/>
    <w:rsid w:val="00646BFC"/>
    <w:rsid w:val="00653AA5"/>
    <w:rsid w:val="0065560B"/>
    <w:rsid w:val="00666C02"/>
    <w:rsid w:val="00673B6B"/>
    <w:rsid w:val="0068381A"/>
    <w:rsid w:val="00686D0C"/>
    <w:rsid w:val="00691777"/>
    <w:rsid w:val="00692393"/>
    <w:rsid w:val="006A74F9"/>
    <w:rsid w:val="006B45E4"/>
    <w:rsid w:val="006C6DB8"/>
    <w:rsid w:val="006D7D99"/>
    <w:rsid w:val="006E1066"/>
    <w:rsid w:val="006E63FE"/>
    <w:rsid w:val="006F7353"/>
    <w:rsid w:val="006F797D"/>
    <w:rsid w:val="0071323C"/>
    <w:rsid w:val="00722347"/>
    <w:rsid w:val="00724867"/>
    <w:rsid w:val="00725771"/>
    <w:rsid w:val="00744F06"/>
    <w:rsid w:val="00745CCF"/>
    <w:rsid w:val="007471D3"/>
    <w:rsid w:val="00750361"/>
    <w:rsid w:val="00762525"/>
    <w:rsid w:val="007648D8"/>
    <w:rsid w:val="00776E78"/>
    <w:rsid w:val="00792DC7"/>
    <w:rsid w:val="00797AB1"/>
    <w:rsid w:val="007C021F"/>
    <w:rsid w:val="007D0ABE"/>
    <w:rsid w:val="007D3EBF"/>
    <w:rsid w:val="007F1339"/>
    <w:rsid w:val="00804595"/>
    <w:rsid w:val="008145DC"/>
    <w:rsid w:val="00814FF4"/>
    <w:rsid w:val="00815D1E"/>
    <w:rsid w:val="0082500C"/>
    <w:rsid w:val="00843AAF"/>
    <w:rsid w:val="008474ED"/>
    <w:rsid w:val="00852177"/>
    <w:rsid w:val="00856983"/>
    <w:rsid w:val="00862B31"/>
    <w:rsid w:val="008669FB"/>
    <w:rsid w:val="008A3D4D"/>
    <w:rsid w:val="008B6A2E"/>
    <w:rsid w:val="008C1897"/>
    <w:rsid w:val="008D62D4"/>
    <w:rsid w:val="008D69AF"/>
    <w:rsid w:val="008E458A"/>
    <w:rsid w:val="008F2594"/>
    <w:rsid w:val="00911F22"/>
    <w:rsid w:val="009161FF"/>
    <w:rsid w:val="0093179D"/>
    <w:rsid w:val="00932CB4"/>
    <w:rsid w:val="00951142"/>
    <w:rsid w:val="00952316"/>
    <w:rsid w:val="00984B8A"/>
    <w:rsid w:val="00993114"/>
    <w:rsid w:val="00993C64"/>
    <w:rsid w:val="009A7262"/>
    <w:rsid w:val="009B54F4"/>
    <w:rsid w:val="009B551E"/>
    <w:rsid w:val="009C1F04"/>
    <w:rsid w:val="009C34B1"/>
    <w:rsid w:val="009D6A8B"/>
    <w:rsid w:val="009F5C65"/>
    <w:rsid w:val="009F70E6"/>
    <w:rsid w:val="00A15FF4"/>
    <w:rsid w:val="00A1712D"/>
    <w:rsid w:val="00A24869"/>
    <w:rsid w:val="00A42231"/>
    <w:rsid w:val="00A5062B"/>
    <w:rsid w:val="00A563F4"/>
    <w:rsid w:val="00A56FF8"/>
    <w:rsid w:val="00A62565"/>
    <w:rsid w:val="00A63B49"/>
    <w:rsid w:val="00A65FB0"/>
    <w:rsid w:val="00A70C73"/>
    <w:rsid w:val="00A8104C"/>
    <w:rsid w:val="00A852BC"/>
    <w:rsid w:val="00AA03F5"/>
    <w:rsid w:val="00AA1BD0"/>
    <w:rsid w:val="00AB5AEE"/>
    <w:rsid w:val="00AC0491"/>
    <w:rsid w:val="00AD3F77"/>
    <w:rsid w:val="00AD4C85"/>
    <w:rsid w:val="00AD7138"/>
    <w:rsid w:val="00AD7B01"/>
    <w:rsid w:val="00AE79A6"/>
    <w:rsid w:val="00AF78DE"/>
    <w:rsid w:val="00B05206"/>
    <w:rsid w:val="00B06860"/>
    <w:rsid w:val="00B16D51"/>
    <w:rsid w:val="00B20670"/>
    <w:rsid w:val="00B22E26"/>
    <w:rsid w:val="00B37458"/>
    <w:rsid w:val="00B377C4"/>
    <w:rsid w:val="00B46F24"/>
    <w:rsid w:val="00B47634"/>
    <w:rsid w:val="00B60928"/>
    <w:rsid w:val="00B622F2"/>
    <w:rsid w:val="00B65ABC"/>
    <w:rsid w:val="00B70391"/>
    <w:rsid w:val="00B71516"/>
    <w:rsid w:val="00B718C5"/>
    <w:rsid w:val="00B72696"/>
    <w:rsid w:val="00B75C9A"/>
    <w:rsid w:val="00B83897"/>
    <w:rsid w:val="00B93109"/>
    <w:rsid w:val="00B94D10"/>
    <w:rsid w:val="00BA586B"/>
    <w:rsid w:val="00BC74C5"/>
    <w:rsid w:val="00BD0D11"/>
    <w:rsid w:val="00BE2474"/>
    <w:rsid w:val="00BF28B4"/>
    <w:rsid w:val="00BF6D20"/>
    <w:rsid w:val="00C03FCF"/>
    <w:rsid w:val="00C16DD7"/>
    <w:rsid w:val="00C17CFF"/>
    <w:rsid w:val="00C2375A"/>
    <w:rsid w:val="00C304FB"/>
    <w:rsid w:val="00C34E4B"/>
    <w:rsid w:val="00C818EC"/>
    <w:rsid w:val="00C83B7F"/>
    <w:rsid w:val="00C86504"/>
    <w:rsid w:val="00C86F84"/>
    <w:rsid w:val="00CC7AAB"/>
    <w:rsid w:val="00CD54D3"/>
    <w:rsid w:val="00CE4114"/>
    <w:rsid w:val="00CE4479"/>
    <w:rsid w:val="00D15FD7"/>
    <w:rsid w:val="00D20D10"/>
    <w:rsid w:val="00D328A0"/>
    <w:rsid w:val="00D5407A"/>
    <w:rsid w:val="00D73052"/>
    <w:rsid w:val="00D86142"/>
    <w:rsid w:val="00DA071E"/>
    <w:rsid w:val="00DA6AE2"/>
    <w:rsid w:val="00DA7729"/>
    <w:rsid w:val="00DB79B3"/>
    <w:rsid w:val="00DE07DE"/>
    <w:rsid w:val="00DE228F"/>
    <w:rsid w:val="00E01331"/>
    <w:rsid w:val="00E03F44"/>
    <w:rsid w:val="00E14912"/>
    <w:rsid w:val="00E17581"/>
    <w:rsid w:val="00E20009"/>
    <w:rsid w:val="00E257FA"/>
    <w:rsid w:val="00E26A84"/>
    <w:rsid w:val="00E43990"/>
    <w:rsid w:val="00E445B7"/>
    <w:rsid w:val="00E52E54"/>
    <w:rsid w:val="00E53385"/>
    <w:rsid w:val="00E81963"/>
    <w:rsid w:val="00E82717"/>
    <w:rsid w:val="00E82DCF"/>
    <w:rsid w:val="00E8311E"/>
    <w:rsid w:val="00E96949"/>
    <w:rsid w:val="00E972A4"/>
    <w:rsid w:val="00EA591D"/>
    <w:rsid w:val="00EA6902"/>
    <w:rsid w:val="00EA77C5"/>
    <w:rsid w:val="00EC05EE"/>
    <w:rsid w:val="00EC23EC"/>
    <w:rsid w:val="00ED2E2A"/>
    <w:rsid w:val="00ED4753"/>
    <w:rsid w:val="00EE3F08"/>
    <w:rsid w:val="00F05B9C"/>
    <w:rsid w:val="00F1193E"/>
    <w:rsid w:val="00F12CE6"/>
    <w:rsid w:val="00F1450C"/>
    <w:rsid w:val="00F14FB5"/>
    <w:rsid w:val="00F42807"/>
    <w:rsid w:val="00F54E21"/>
    <w:rsid w:val="00F57FA0"/>
    <w:rsid w:val="00F654F2"/>
    <w:rsid w:val="00F8065D"/>
    <w:rsid w:val="00F879E4"/>
    <w:rsid w:val="00F91974"/>
    <w:rsid w:val="00F91C19"/>
    <w:rsid w:val="00FC3455"/>
    <w:rsid w:val="00FC39AC"/>
    <w:rsid w:val="00FC7435"/>
    <w:rsid w:val="00FD698E"/>
    <w:rsid w:val="00FE1974"/>
    <w:rsid w:val="00FF5DF8"/>
    <w:rsid w:val="011D78CE"/>
    <w:rsid w:val="01492C6B"/>
    <w:rsid w:val="021D7D28"/>
    <w:rsid w:val="02820DF9"/>
    <w:rsid w:val="02B07A07"/>
    <w:rsid w:val="03247659"/>
    <w:rsid w:val="0370515F"/>
    <w:rsid w:val="03D951E0"/>
    <w:rsid w:val="04517186"/>
    <w:rsid w:val="054C5DEF"/>
    <w:rsid w:val="05E160CD"/>
    <w:rsid w:val="06400C4E"/>
    <w:rsid w:val="07BE62CF"/>
    <w:rsid w:val="07F6266E"/>
    <w:rsid w:val="08B576D2"/>
    <w:rsid w:val="093D7529"/>
    <w:rsid w:val="09BD6030"/>
    <w:rsid w:val="09EF204F"/>
    <w:rsid w:val="0A4C7BC2"/>
    <w:rsid w:val="0ACB1229"/>
    <w:rsid w:val="0C5539EF"/>
    <w:rsid w:val="0C5E6DB7"/>
    <w:rsid w:val="0C632FA1"/>
    <w:rsid w:val="0C7D0295"/>
    <w:rsid w:val="0D9F625A"/>
    <w:rsid w:val="0E601E8E"/>
    <w:rsid w:val="0E6F3E7F"/>
    <w:rsid w:val="0E8611C8"/>
    <w:rsid w:val="0F6D0AF3"/>
    <w:rsid w:val="118345D0"/>
    <w:rsid w:val="11CF2096"/>
    <w:rsid w:val="11D87F8D"/>
    <w:rsid w:val="12794C3F"/>
    <w:rsid w:val="127E28E2"/>
    <w:rsid w:val="12E110C3"/>
    <w:rsid w:val="137F7DB1"/>
    <w:rsid w:val="13BF540A"/>
    <w:rsid w:val="14E8013A"/>
    <w:rsid w:val="1502241A"/>
    <w:rsid w:val="15D7344D"/>
    <w:rsid w:val="16A630BC"/>
    <w:rsid w:val="17381E13"/>
    <w:rsid w:val="18583BD5"/>
    <w:rsid w:val="19004F43"/>
    <w:rsid w:val="194D1260"/>
    <w:rsid w:val="19ED659F"/>
    <w:rsid w:val="1AAF173C"/>
    <w:rsid w:val="1ABD2416"/>
    <w:rsid w:val="1B2B6AD0"/>
    <w:rsid w:val="1E440240"/>
    <w:rsid w:val="1EA41C5B"/>
    <w:rsid w:val="1EAC6A29"/>
    <w:rsid w:val="1EFA7789"/>
    <w:rsid w:val="1F6D5317"/>
    <w:rsid w:val="201C5A39"/>
    <w:rsid w:val="20213D26"/>
    <w:rsid w:val="208A3ABA"/>
    <w:rsid w:val="20B96E6D"/>
    <w:rsid w:val="213B371C"/>
    <w:rsid w:val="21E07116"/>
    <w:rsid w:val="223905D4"/>
    <w:rsid w:val="22CC00A8"/>
    <w:rsid w:val="231B5F2B"/>
    <w:rsid w:val="23533917"/>
    <w:rsid w:val="23731B62"/>
    <w:rsid w:val="247578BD"/>
    <w:rsid w:val="24930849"/>
    <w:rsid w:val="2496729F"/>
    <w:rsid w:val="24C543A1"/>
    <w:rsid w:val="255B1C9D"/>
    <w:rsid w:val="25CD7A5D"/>
    <w:rsid w:val="2601304C"/>
    <w:rsid w:val="264F5867"/>
    <w:rsid w:val="27054C82"/>
    <w:rsid w:val="27B84691"/>
    <w:rsid w:val="28011B94"/>
    <w:rsid w:val="28EC45F2"/>
    <w:rsid w:val="293C1A34"/>
    <w:rsid w:val="29883BEF"/>
    <w:rsid w:val="29CD0424"/>
    <w:rsid w:val="2A1A4B2E"/>
    <w:rsid w:val="2A7A4DE5"/>
    <w:rsid w:val="2B760F92"/>
    <w:rsid w:val="2C6B3A80"/>
    <w:rsid w:val="2C84548D"/>
    <w:rsid w:val="2DFC6A4C"/>
    <w:rsid w:val="2E812C0C"/>
    <w:rsid w:val="2F5826D9"/>
    <w:rsid w:val="2F7173AD"/>
    <w:rsid w:val="2FA451F8"/>
    <w:rsid w:val="3029612C"/>
    <w:rsid w:val="306B5892"/>
    <w:rsid w:val="30C01185"/>
    <w:rsid w:val="31331075"/>
    <w:rsid w:val="3295288B"/>
    <w:rsid w:val="34592D57"/>
    <w:rsid w:val="35D21208"/>
    <w:rsid w:val="360078ED"/>
    <w:rsid w:val="36CA1B77"/>
    <w:rsid w:val="371F494A"/>
    <w:rsid w:val="37DC3A83"/>
    <w:rsid w:val="38CB100D"/>
    <w:rsid w:val="38E5248F"/>
    <w:rsid w:val="39B051C8"/>
    <w:rsid w:val="3A8B06D0"/>
    <w:rsid w:val="3C1E28BD"/>
    <w:rsid w:val="3C5C33E5"/>
    <w:rsid w:val="3D1A3501"/>
    <w:rsid w:val="3DB52276"/>
    <w:rsid w:val="3E4820CF"/>
    <w:rsid w:val="3F8779B3"/>
    <w:rsid w:val="3FD637E6"/>
    <w:rsid w:val="4026626B"/>
    <w:rsid w:val="42126516"/>
    <w:rsid w:val="43E75C8A"/>
    <w:rsid w:val="43F403A7"/>
    <w:rsid w:val="449B4EA7"/>
    <w:rsid w:val="458420C4"/>
    <w:rsid w:val="46E841FD"/>
    <w:rsid w:val="47254DC0"/>
    <w:rsid w:val="47506FBF"/>
    <w:rsid w:val="47AE08B8"/>
    <w:rsid w:val="48476A31"/>
    <w:rsid w:val="49A63683"/>
    <w:rsid w:val="4B121E1D"/>
    <w:rsid w:val="4BCE4C57"/>
    <w:rsid w:val="4C546926"/>
    <w:rsid w:val="4C892CA6"/>
    <w:rsid w:val="4DA058CB"/>
    <w:rsid w:val="4E2D0935"/>
    <w:rsid w:val="4E462AAD"/>
    <w:rsid w:val="4E4B63E8"/>
    <w:rsid w:val="4F326E51"/>
    <w:rsid w:val="4F6A776F"/>
    <w:rsid w:val="4F870321"/>
    <w:rsid w:val="50D75C08"/>
    <w:rsid w:val="5285323E"/>
    <w:rsid w:val="53021F3E"/>
    <w:rsid w:val="53BA473F"/>
    <w:rsid w:val="55867C03"/>
    <w:rsid w:val="55D960E2"/>
    <w:rsid w:val="55E81280"/>
    <w:rsid w:val="56F559BA"/>
    <w:rsid w:val="577F1FE4"/>
    <w:rsid w:val="58006EC2"/>
    <w:rsid w:val="588F36FD"/>
    <w:rsid w:val="590D07C0"/>
    <w:rsid w:val="599A08BA"/>
    <w:rsid w:val="5AB13779"/>
    <w:rsid w:val="5BF37F64"/>
    <w:rsid w:val="5F4E6098"/>
    <w:rsid w:val="5FC31EA8"/>
    <w:rsid w:val="60F11A9E"/>
    <w:rsid w:val="61753621"/>
    <w:rsid w:val="61B103C3"/>
    <w:rsid w:val="61DA2576"/>
    <w:rsid w:val="61E7759D"/>
    <w:rsid w:val="62141B70"/>
    <w:rsid w:val="621C77C2"/>
    <w:rsid w:val="623F023C"/>
    <w:rsid w:val="6276445E"/>
    <w:rsid w:val="62E5345E"/>
    <w:rsid w:val="62EE2739"/>
    <w:rsid w:val="640C2431"/>
    <w:rsid w:val="644471D2"/>
    <w:rsid w:val="652F7039"/>
    <w:rsid w:val="667644F6"/>
    <w:rsid w:val="6736645D"/>
    <w:rsid w:val="674C3EC1"/>
    <w:rsid w:val="67642FCA"/>
    <w:rsid w:val="682B4063"/>
    <w:rsid w:val="683915F7"/>
    <w:rsid w:val="68707380"/>
    <w:rsid w:val="691B3B5C"/>
    <w:rsid w:val="6B037B89"/>
    <w:rsid w:val="6B1B2E01"/>
    <w:rsid w:val="6C926C63"/>
    <w:rsid w:val="6DBC316D"/>
    <w:rsid w:val="6E6100C8"/>
    <w:rsid w:val="6E6E2CBD"/>
    <w:rsid w:val="6F1818CE"/>
    <w:rsid w:val="6F5B5358"/>
    <w:rsid w:val="6F7B6420"/>
    <w:rsid w:val="71D561F6"/>
    <w:rsid w:val="72542872"/>
    <w:rsid w:val="758B6736"/>
    <w:rsid w:val="75C22340"/>
    <w:rsid w:val="76003570"/>
    <w:rsid w:val="76044391"/>
    <w:rsid w:val="7700345C"/>
    <w:rsid w:val="77405B0B"/>
    <w:rsid w:val="7772528F"/>
    <w:rsid w:val="784B104E"/>
    <w:rsid w:val="79CD2C51"/>
    <w:rsid w:val="79DD5C9A"/>
    <w:rsid w:val="7A4553DD"/>
    <w:rsid w:val="7B4909FD"/>
    <w:rsid w:val="7B556775"/>
    <w:rsid w:val="7C360B0D"/>
    <w:rsid w:val="7C5C4760"/>
    <w:rsid w:val="7C746CBA"/>
    <w:rsid w:val="7DB57A31"/>
    <w:rsid w:val="7E977CD1"/>
    <w:rsid w:val="7ED4220A"/>
    <w:rsid w:val="7EF11C75"/>
    <w:rsid w:val="7F427C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D288EB1"/>
  <w15:docId w15:val="{7D7074C5-58B7-49E0-B8BC-A8AB92242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uiPriority="0" w:qFormat="1"/>
    <w:lsdException w:name="header" w:qFormat="1"/>
    <w:lsdException w:name="footer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qFormat="1"/>
    <w:lsdException w:name="line number" w:qFormat="1"/>
    <w:lsdException w:name="page number" w:uiPriority="0" w:qFormat="1"/>
    <w:lsdException w:name="endnote reference" w:uiPriority="0" w:qFormat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uiPriority="0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60" w:lineRule="atLeast"/>
      <w:jc w:val="both"/>
    </w:pPr>
    <w:rPr>
      <w:rFonts w:ascii="Minion Pro" w:hAnsi="Minion Pro"/>
      <w:color w:val="00000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qFormat/>
    <w:pPr>
      <w:keepNext/>
      <w:spacing w:before="120" w:after="120"/>
      <w:jc w:val="center"/>
    </w:pPr>
    <w:rPr>
      <w:rFonts w:ascii="Palatino Linotype" w:eastAsiaTheme="minorEastAsia" w:hAnsi="Palatino Linotype"/>
      <w:b/>
      <w:kern w:val="2"/>
      <w14:ligatures w14:val="standardContextual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link w:val="BodyTextChar"/>
    <w:qFormat/>
    <w:pPr>
      <w:spacing w:after="120" w:line="340" w:lineRule="atLeast"/>
      <w:jc w:val="both"/>
    </w:pPr>
    <w:rPr>
      <w:rFonts w:ascii="Minion Pro" w:hAnsi="Minion Pro"/>
      <w:color w:val="000000"/>
      <w:sz w:val="24"/>
      <w:lang w:eastAsia="de-DE"/>
    </w:rPr>
  </w:style>
  <w:style w:type="paragraph" w:styleId="EndnoteText">
    <w:name w:val="endnote text"/>
    <w:basedOn w:val="Normal"/>
    <w:link w:val="EndnoteTextChar"/>
    <w:semiHidden/>
    <w:unhideWhenUsed/>
    <w:qFormat/>
    <w:pPr>
      <w:spacing w:line="240" w:lineRule="auto"/>
    </w:pPr>
  </w:style>
  <w:style w:type="paragraph" w:styleId="BalloonText">
    <w:name w:val="Balloon Text"/>
    <w:basedOn w:val="Normal"/>
    <w:link w:val="BalloonTextChar"/>
    <w:uiPriority w:val="99"/>
    <w:qFormat/>
    <w:rPr>
      <w:rFonts w:cs="Tahoma"/>
      <w:szCs w:val="18"/>
    </w:rPr>
  </w:style>
  <w:style w:type="paragraph" w:styleId="Footer">
    <w:name w:val="footer"/>
    <w:basedOn w:val="Normal"/>
    <w:link w:val="FooterChar"/>
    <w:uiPriority w:val="99"/>
    <w:qFormat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Cs w:val="18"/>
    </w:rPr>
  </w:style>
  <w:style w:type="paragraph" w:styleId="Header">
    <w:name w:val="header"/>
    <w:basedOn w:val="Normal"/>
    <w:link w:val="HeaderChar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paragraph" w:styleId="FootnoteText">
    <w:name w:val="footnote text"/>
    <w:basedOn w:val="Normal"/>
    <w:link w:val="FootnoteTextChar"/>
    <w:semiHidden/>
    <w:unhideWhenUsed/>
    <w:qFormat/>
    <w:pPr>
      <w:spacing w:line="240" w:lineRule="auto"/>
    </w:pPr>
  </w:style>
  <w:style w:type="paragraph" w:styleId="NormalWeb">
    <w:name w:val="Normal (Web)"/>
    <w:basedOn w:val="Normal"/>
    <w:uiPriority w:val="99"/>
    <w:qFormat/>
    <w:rPr>
      <w:szCs w:val="24"/>
    </w:r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59"/>
    <w:qFormat/>
    <w:pPr>
      <w:spacing w:line="260" w:lineRule="atLeast"/>
      <w:jc w:val="both"/>
    </w:pPr>
    <w:rPr>
      <w:rFonts w:ascii="Minion Pro" w:hAnsi="Minion Pro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Pr>
      <w:b/>
    </w:rPr>
  </w:style>
  <w:style w:type="character" w:styleId="EndnoteReference">
    <w:name w:val="endnote reference"/>
    <w:qFormat/>
    <w:rPr>
      <w:vertAlign w:val="superscript"/>
    </w:rPr>
  </w:style>
  <w:style w:type="character" w:styleId="PageNumber">
    <w:name w:val="page number"/>
    <w:qFormat/>
    <w:rPr>
      <w:rFonts w:ascii="Minion Pro" w:hAnsi="Minion Pro"/>
    </w:rPr>
  </w:style>
  <w:style w:type="character" w:styleId="FollowedHyperlink">
    <w:name w:val="FollowedHyperlink"/>
    <w:qFormat/>
    <w:rPr>
      <w:color w:val="954F72"/>
      <w:u w:val="single"/>
    </w:rPr>
  </w:style>
  <w:style w:type="character" w:styleId="LineNumber">
    <w:name w:val="line number"/>
    <w:uiPriority w:val="99"/>
    <w:qFormat/>
    <w:rPr>
      <w:rFonts w:ascii="Minion Pro" w:hAnsi="Minion Pro"/>
      <w:sz w:val="16"/>
    </w:rPr>
  </w:style>
  <w:style w:type="character" w:styleId="Hyperlink">
    <w:name w:val="Hyperlink"/>
    <w:basedOn w:val="DefaultParagraphFont"/>
    <w:uiPriority w:val="99"/>
    <w:qFormat/>
    <w:rPr>
      <w:color w:val="2F5496" w:themeColor="accent1" w:themeShade="BF"/>
      <w:u w:val="single"/>
    </w:rPr>
  </w:style>
  <w:style w:type="character" w:styleId="CommentReference">
    <w:name w:val="annotation reference"/>
    <w:qFormat/>
    <w:rPr>
      <w:sz w:val="21"/>
      <w:szCs w:val="21"/>
    </w:rPr>
  </w:style>
  <w:style w:type="paragraph" w:customStyle="1" w:styleId="TSP11articletype">
    <w:name w:val="TSP_1.1_article_type"/>
    <w:next w:val="Normal"/>
    <w:qFormat/>
    <w:pPr>
      <w:adjustRightInd w:val="0"/>
      <w:snapToGrid w:val="0"/>
      <w:spacing w:before="240" w:line="240" w:lineRule="atLeast"/>
    </w:pPr>
    <w:rPr>
      <w:rFonts w:ascii="Minion Pro" w:eastAsia="Times New Roman" w:hAnsi="Minion Pro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10doinum">
    <w:name w:val="TSP_1.10_doinum"/>
    <w:basedOn w:val="Normal"/>
    <w:qFormat/>
    <w:pPr>
      <w:spacing w:after="240" w:line="60" w:lineRule="atLeast"/>
      <w:jc w:val="left"/>
    </w:pPr>
    <w:rPr>
      <w:rFonts w:eastAsiaTheme="minorEastAsia"/>
      <w:kern w:val="2"/>
      <w:sz w:val="14"/>
      <w14:ligatures w14:val="standardContextual"/>
    </w:rPr>
  </w:style>
  <w:style w:type="paragraph" w:customStyle="1" w:styleId="TSP12title">
    <w:name w:val="TSP_1.2_title"/>
    <w:next w:val="Normal"/>
    <w:qFormat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pPr>
      <w:adjustRightInd w:val="0"/>
      <w:snapToGrid w:val="0"/>
      <w:spacing w:before="240" w:after="240" w:line="240" w:lineRule="atLeast"/>
    </w:pPr>
    <w:rPr>
      <w:rFonts w:ascii="Minion Pro" w:eastAsia="Times New Roman" w:hAnsi="Minion Pro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pPr>
      <w:adjustRightInd w:val="0"/>
      <w:snapToGrid w:val="0"/>
      <w:spacing w:before="60" w:after="240" w:line="240" w:lineRule="atLeast"/>
      <w:jc w:val="left"/>
    </w:pPr>
    <w:rPr>
      <w:rFonts w:eastAsia="Times New Roman"/>
      <w:sz w:val="18"/>
      <w:lang w:eastAsia="de-DE" w:bidi="en-US"/>
    </w:rPr>
  </w:style>
  <w:style w:type="paragraph" w:customStyle="1" w:styleId="TSP15academiceditor">
    <w:name w:val="TSP_1.5_academic_editor"/>
    <w:qFormat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color w:val="000000"/>
      <w:szCs w:val="22"/>
      <w:lang w:eastAsia="de-DE" w:bidi="en-US"/>
    </w:rPr>
  </w:style>
  <w:style w:type="character" w:customStyle="1" w:styleId="FooterChar">
    <w:name w:val="Footer Char"/>
    <w:link w:val="Footer"/>
    <w:uiPriority w:val="99"/>
    <w:qFormat/>
    <w:rPr>
      <w:rFonts w:ascii="Minion Pro" w:hAnsi="Minion Pro"/>
      <w:color w:val="000000"/>
      <w:szCs w:val="18"/>
    </w:rPr>
  </w:style>
  <w:style w:type="character" w:customStyle="1" w:styleId="HeaderChar">
    <w:name w:val="Header Char"/>
    <w:link w:val="Header"/>
    <w:uiPriority w:val="99"/>
    <w:qFormat/>
    <w:rPr>
      <w:rFonts w:ascii="Minion Pro" w:hAnsi="Minion Pro"/>
      <w:color w:val="000000"/>
      <w:szCs w:val="18"/>
    </w:rPr>
  </w:style>
  <w:style w:type="paragraph" w:customStyle="1" w:styleId="TSP18keywords">
    <w:name w:val="TSP_1.8_keywords"/>
    <w:next w:val="Normal"/>
    <w:qFormat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pPr>
      <w:spacing w:before="240" w:line="240" w:lineRule="atLeast"/>
      <w:jc w:val="both"/>
    </w:pPr>
    <w:rPr>
      <w:rFonts w:ascii="Minion Pro" w:eastAsia="Times New Roman" w:hAnsi="Minion Pro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/>
      <w:b/>
      <w:i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31text">
    <w:name w:val="TSP_3.1_text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pPr>
      <w:ind w:firstLine="0"/>
    </w:pPr>
  </w:style>
  <w:style w:type="paragraph" w:customStyle="1" w:styleId="TSP33textspaceafter">
    <w:name w:val="TSP_3.3_text_space_after"/>
    <w:qFormat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8bullet">
    <w:name w:val="TSP_3.8_bullet"/>
    <w:qFormat/>
    <w:pPr>
      <w:numPr>
        <w:numId w:val="2"/>
      </w:numPr>
      <w:adjustRightInd w:val="0"/>
      <w:snapToGrid w:val="0"/>
      <w:spacing w:line="228" w:lineRule="auto"/>
      <w:ind w:left="425"/>
      <w:jc w:val="both"/>
    </w:pPr>
    <w:rPr>
      <w:rFonts w:ascii="Minion Pro" w:eastAsia="Times New Roman" w:hAnsi="Minion Pro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pPr>
      <w:adjustRightInd w:val="0"/>
      <w:snapToGrid w:val="0"/>
      <w:spacing w:before="120" w:after="120" w:line="240" w:lineRule="atLeas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pPr>
      <w:spacing w:before="120" w:after="120" w:line="240" w:lineRule="atLeast"/>
      <w:jc w:val="right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pPr>
      <w:adjustRightInd w:val="0"/>
      <w:snapToGrid w:val="0"/>
      <w:spacing w:before="240" w:after="120" w:line="240" w:lineRule="atLeast"/>
      <w:jc w:val="center"/>
    </w:pPr>
    <w:rPr>
      <w:rFonts w:ascii="Minion Pro" w:hAnsi="Minion Pro" w:cs="Cordia New"/>
      <w:color w:val="000000"/>
      <w:szCs w:val="22"/>
      <w:lang w:bidi="en-US"/>
    </w:rPr>
  </w:style>
  <w:style w:type="paragraph" w:customStyle="1" w:styleId="TSP41tablecaption">
    <w:name w:val="TSP_4.1_table_caption"/>
    <w:qFormat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2tablebody">
    <w:name w:val="TSP_4.2_table_body"/>
    <w:qFormat/>
    <w:pPr>
      <w:adjustRightInd w:val="0"/>
      <w:snapToGrid w:val="0"/>
      <w:spacing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paragraph" w:customStyle="1" w:styleId="TSP43tablefooter">
    <w:name w:val="TSP_4.3_table_footer"/>
    <w:next w:val="TSP31text"/>
    <w:qFormat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pPr>
      <w:adjustRightInd w:val="0"/>
      <w:snapToGrid w:val="0"/>
      <w:spacing w:before="120" w:after="240" w:line="240" w:lineRule="atLeast"/>
      <w:jc w:val="center"/>
    </w:pPr>
    <w:rPr>
      <w:rFonts w:ascii="Minion Pro" w:hAnsi="Minion Pro"/>
      <w:color w:val="000000"/>
      <w:lang w:bidi="en-US"/>
    </w:rPr>
  </w:style>
  <w:style w:type="paragraph" w:customStyle="1" w:styleId="TSP51figurecaption">
    <w:name w:val="TSP_5.1_figure_caption"/>
    <w:qFormat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/>
      <w:color w:val="000000"/>
      <w:lang w:eastAsia="de-DE" w:bidi="en-US"/>
    </w:rPr>
  </w:style>
  <w:style w:type="paragraph" w:customStyle="1" w:styleId="TSP52figure">
    <w:name w:val="TSP_5.2_figure"/>
    <w:qFormat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/>
      <w:snapToGrid w:val="0"/>
      <w:color w:val="000000"/>
      <w:lang w:eastAsia="de-DE" w:bidi="en-US"/>
    </w:rPr>
  </w:style>
  <w:style w:type="character" w:customStyle="1" w:styleId="BalloonTextChar">
    <w:name w:val="Balloon Text Char"/>
    <w:link w:val="BalloonText"/>
    <w:uiPriority w:val="99"/>
    <w:qFormat/>
    <w:rPr>
      <w:rFonts w:ascii="Minion Pro" w:hAnsi="Minion Pro" w:cs="Tahoma"/>
      <w:color w:val="000000"/>
      <w:szCs w:val="18"/>
    </w:rPr>
  </w:style>
  <w:style w:type="paragraph" w:customStyle="1" w:styleId="TSP61Citation">
    <w:name w:val="TSP_6.1_Citation"/>
    <w:qFormat/>
    <w:pPr>
      <w:adjustRightInd w:val="0"/>
      <w:snapToGrid w:val="0"/>
      <w:spacing w:line="240" w:lineRule="atLeast"/>
    </w:pPr>
    <w:rPr>
      <w:rFonts w:ascii="Minion Pro" w:hAnsi="Minion Pro" w:cs="Cordia New"/>
      <w:sz w:val="22"/>
      <w:szCs w:val="22"/>
    </w:rPr>
  </w:style>
  <w:style w:type="character" w:customStyle="1" w:styleId="1">
    <w:name w:val="未处理的提及1"/>
    <w:uiPriority w:val="99"/>
    <w:semiHidden/>
    <w:unhideWhenUsed/>
    <w:qFormat/>
    <w:rPr>
      <w:color w:val="605E5C"/>
      <w:shd w:val="clear" w:color="auto" w:fill="E1DFDD"/>
    </w:rPr>
  </w:style>
  <w:style w:type="table" w:customStyle="1" w:styleId="41">
    <w:name w:val="无格式表格 41"/>
    <w:basedOn w:val="TableNormal"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TSP62BackMatter">
    <w:name w:val="TSP_6.2_BackMatter"/>
    <w:qFormat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/>
      <w:snapToGrid w:val="0"/>
      <w:color w:val="000000"/>
      <w:lang w:eastAsia="en-US" w:bidi="en-US"/>
    </w:rPr>
  </w:style>
  <w:style w:type="paragraph" w:customStyle="1" w:styleId="TSP63Notes">
    <w:name w:val="TSP_6.3_Notes"/>
    <w:qFormat/>
    <w:pPr>
      <w:adjustRightInd w:val="0"/>
      <w:snapToGrid w:val="0"/>
      <w:spacing w:before="60" w:after="60" w:line="228" w:lineRule="auto"/>
      <w:jc w:val="both"/>
    </w:pPr>
    <w:rPr>
      <w:rFonts w:ascii="Minion Pro" w:hAnsi="Minion Pro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pPr>
      <w:numPr>
        <w:numId w:val="3"/>
      </w:numPr>
      <w:adjustRightInd w:val="0"/>
      <w:snapToGrid w:val="0"/>
      <w:spacing w:before="60" w:after="60" w:line="228" w:lineRule="auto"/>
      <w:jc w:val="both"/>
    </w:pPr>
    <w:rPr>
      <w:rFonts w:ascii="Minion Pro" w:eastAsiaTheme="minorEastAsia" w:hAnsi="Minion Pro"/>
      <w:color w:val="000000"/>
      <w:sz w:val="18"/>
    </w:rPr>
  </w:style>
  <w:style w:type="paragraph" w:customStyle="1" w:styleId="TSP71References">
    <w:name w:val="TSP_7.1_References"/>
    <w:qFormat/>
    <w:pPr>
      <w:numPr>
        <w:numId w:val="4"/>
      </w:numPr>
      <w:adjustRightInd w:val="0"/>
      <w:snapToGrid w:val="0"/>
      <w:spacing w:line="228" w:lineRule="auto"/>
      <w:ind w:left="425" w:hanging="425"/>
      <w:jc w:val="both"/>
    </w:pPr>
    <w:rPr>
      <w:rFonts w:ascii="Minion Pro" w:eastAsia="等线" w:hAnsi="Minion Pro"/>
      <w:color w:val="000000"/>
      <w:lang w:eastAsia="de-DE" w:bidi="en-US"/>
    </w:rPr>
  </w:style>
  <w:style w:type="paragraph" w:customStyle="1" w:styleId="TSP72Copyright">
    <w:name w:val="TSP_7.2_Copyright"/>
    <w:qFormat/>
    <w:pPr>
      <w:adjustRightInd w:val="0"/>
      <w:snapToGrid w:val="0"/>
      <w:spacing w:line="192" w:lineRule="auto"/>
      <w:jc w:val="both"/>
    </w:pPr>
    <w:rPr>
      <w:rFonts w:ascii="Minion Pro" w:eastAsia="Times New Roman" w:hAnsi="Minion Pro"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pPr>
      <w:adjustRightInd w:val="0"/>
      <w:snapToGrid w:val="0"/>
      <w:spacing w:before="20" w:line="228" w:lineRule="auto"/>
    </w:pPr>
    <w:rPr>
      <w:rFonts w:ascii="Minion Pro" w:eastAsia="Times New Roman" w:hAnsi="Minion Pro"/>
      <w:color w:val="000000"/>
      <w:sz w:val="18"/>
      <w:lang w:eastAsia="de-CH"/>
    </w:rPr>
  </w:style>
  <w:style w:type="paragraph" w:customStyle="1" w:styleId="TSP81theorem">
    <w:name w:val="TSP_8.1_theorem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pPr>
      <w:adjustRightInd w:val="0"/>
      <w:snapToGrid w:val="0"/>
      <w:spacing w:before="120" w:after="120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footerfirstpage">
    <w:name w:val="TSP_footer_firstpage"/>
    <w:qFormat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/>
      <w:color w:val="000000"/>
      <w:sz w:val="16"/>
      <w:lang w:eastAsia="de-DE"/>
    </w:rPr>
  </w:style>
  <w:style w:type="paragraph" w:customStyle="1" w:styleId="TSPheader">
    <w:name w:val="TSP_header"/>
    <w:qFormat/>
    <w:pPr>
      <w:adjustRightInd w:val="0"/>
      <w:snapToGrid w:val="0"/>
      <w:spacing w:line="228" w:lineRule="auto"/>
      <w:jc w:val="both"/>
    </w:pPr>
    <w:rPr>
      <w:rFonts w:ascii="Minion Pro" w:eastAsia="Times New Roman" w:hAnsi="Minion Pro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pPr>
      <w:spacing w:line="228" w:lineRule="auto"/>
    </w:pPr>
    <w:rPr>
      <w:rFonts w:ascii="Minion Pro" w:eastAsia="Times New Roman" w:hAnsi="Minion Pro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pPr>
      <w:adjustRightInd w:val="0"/>
      <w:snapToGrid w:val="0"/>
      <w:spacing w:line="240" w:lineRule="atLeas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headertsplogo">
    <w:name w:val="TSP_header_tsp_logo"/>
    <w:qFormat/>
    <w:pPr>
      <w:adjustRightInd w:val="0"/>
      <w:snapToGrid w:val="0"/>
      <w:spacing w:line="240" w:lineRule="atLeast"/>
      <w:jc w:val="right"/>
    </w:pPr>
    <w:rPr>
      <w:rFonts w:ascii="Minion Pro" w:eastAsia="Times New Roman" w:hAnsi="Minion Pro"/>
      <w:color w:val="000000"/>
      <w:sz w:val="22"/>
      <w:szCs w:val="22"/>
      <w:lang w:eastAsia="de-CH"/>
    </w:rPr>
  </w:style>
  <w:style w:type="paragraph" w:customStyle="1" w:styleId="TSPtext">
    <w:name w:val="TSP_text"/>
    <w:qFormat/>
    <w:pPr>
      <w:snapToGrid w:val="0"/>
      <w:spacing w:line="240" w:lineRule="atLeast"/>
      <w:ind w:firstLine="425"/>
      <w:jc w:val="both"/>
    </w:pPr>
    <w:rPr>
      <w:rFonts w:ascii="Minion Pro" w:eastAsia="Times New Roman" w:hAnsi="Minion Pro"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/>
      <w:b/>
      <w:snapToGrid w:val="0"/>
      <w:color w:val="000000"/>
      <w:sz w:val="28"/>
      <w:lang w:eastAsia="de-DE" w:bidi="en-US"/>
    </w:rPr>
  </w:style>
  <w:style w:type="character" w:customStyle="1" w:styleId="apple-converted-space">
    <w:name w:val="apple-converted-space"/>
    <w:qFormat/>
  </w:style>
  <w:style w:type="paragraph" w:customStyle="1" w:styleId="10">
    <w:name w:val="书目1"/>
    <w:basedOn w:val="Normal"/>
    <w:next w:val="Normal"/>
    <w:uiPriority w:val="37"/>
    <w:semiHidden/>
    <w:unhideWhenUsed/>
    <w:qFormat/>
  </w:style>
  <w:style w:type="character" w:customStyle="1" w:styleId="BodyTextChar">
    <w:name w:val="Body Text Char"/>
    <w:link w:val="BodyText"/>
    <w:qFormat/>
    <w:rPr>
      <w:rFonts w:ascii="Minion Pro" w:hAnsi="Minion Pro"/>
      <w:color w:val="000000"/>
      <w:sz w:val="24"/>
      <w:lang w:eastAsia="de-DE"/>
    </w:rPr>
  </w:style>
  <w:style w:type="character" w:customStyle="1" w:styleId="CommentTextChar">
    <w:name w:val="Comment Text Char"/>
    <w:link w:val="CommentText"/>
    <w:qFormat/>
    <w:rPr>
      <w:rFonts w:ascii="Minion Pro" w:hAnsi="Minion Pro"/>
      <w:color w:val="000000"/>
    </w:rPr>
  </w:style>
  <w:style w:type="character" w:customStyle="1" w:styleId="CommentSubjectChar">
    <w:name w:val="Comment Subject Char"/>
    <w:link w:val="CommentSubject"/>
    <w:qFormat/>
    <w:rPr>
      <w:rFonts w:ascii="Minion Pro" w:hAnsi="Minion Pro"/>
      <w:b/>
      <w:bCs/>
      <w:color w:val="000000"/>
    </w:rPr>
  </w:style>
  <w:style w:type="character" w:customStyle="1" w:styleId="EndnoteTextChar">
    <w:name w:val="Endnote Text Char"/>
    <w:link w:val="EndnoteText"/>
    <w:semiHidden/>
    <w:qFormat/>
    <w:rPr>
      <w:rFonts w:ascii="Palatino Linotype" w:hAnsi="Palatino Linotype"/>
      <w:color w:val="000000"/>
    </w:rPr>
  </w:style>
  <w:style w:type="character" w:customStyle="1" w:styleId="FootnoteTextChar">
    <w:name w:val="Footnote Text Char"/>
    <w:link w:val="FootnoteText"/>
    <w:semiHidden/>
    <w:qFormat/>
    <w:rPr>
      <w:rFonts w:ascii="Palatino Linotype" w:hAnsi="Palatino Linotype"/>
      <w:color w:val="000000"/>
    </w:rPr>
  </w:style>
  <w:style w:type="paragraph" w:customStyle="1" w:styleId="MsoFootnoteText0">
    <w:name w:val="MsoFootnoteText"/>
    <w:basedOn w:val="NormalWeb"/>
    <w:qFormat/>
  </w:style>
  <w:style w:type="character" w:styleId="PlaceholderText">
    <w:name w:val="Placeholder Text"/>
    <w:uiPriority w:val="99"/>
    <w:semiHidden/>
    <w:qFormat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keyword">
    <w:name w:val="keyword"/>
    <w:basedOn w:val="Normal"/>
    <w:qFormat/>
    <w:pPr>
      <w:spacing w:before="280"/>
    </w:pPr>
    <w:rPr>
      <w:rFonts w:ascii="Palatino Linotype" w:eastAsiaTheme="minorEastAsia" w:hAnsi="Palatino Linotype"/>
      <w:kern w:val="2"/>
      <w14:ligatures w14:val="standardContextual"/>
    </w:rPr>
  </w:style>
  <w:style w:type="paragraph" w:styleId="ListParagraph">
    <w:name w:val="List Paragraph"/>
    <w:basedOn w:val="Normal"/>
    <w:uiPriority w:val="34"/>
    <w:qFormat/>
    <w:pPr>
      <w:ind w:firstLineChars="200" w:firstLine="420"/>
    </w:pPr>
    <w:rPr>
      <w:rFonts w:ascii="Palatino Linotype" w:eastAsiaTheme="minorEastAsia" w:hAnsi="Palatino Linotype"/>
      <w:kern w:val="2"/>
      <w14:ligatures w14:val="standardContextual"/>
    </w:rPr>
  </w:style>
  <w:style w:type="paragraph" w:customStyle="1" w:styleId="Revision1">
    <w:name w:val="Revision1"/>
    <w:hidden/>
    <w:uiPriority w:val="99"/>
    <w:unhideWhenUsed/>
    <w:qFormat/>
    <w:rPr>
      <w:rFonts w:ascii="Minion Pro" w:hAnsi="Minion Pro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80</Words>
  <Characters>462</Characters>
  <Application>Microsoft Office Word</Application>
  <DocSecurity>0</DocSecurity>
  <Lines>3</Lines>
  <Paragraphs>1</Paragraphs>
  <ScaleCrop>false</ScaleCrop>
  <Company/>
  <LinksUpToDate>false</LinksUpToDate>
  <CharactersWithSpaces>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creator>闫淼</dc:creator>
  <cp:lastModifiedBy>Tech Science Press</cp:lastModifiedBy>
  <cp:revision>4</cp:revision>
  <dcterms:created xsi:type="dcterms:W3CDTF">2025-02-14T03:38:00Z</dcterms:created>
  <dcterms:modified xsi:type="dcterms:W3CDTF">2025-04-17T01:00:00Z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ICV">
    <vt:lpwstr>90CDBABFA8F549F4B98E14612075909D_13</vt:lpwstr>
  </property>
  <property fmtid="{D5CDD505-2E9C-101B-9397-08002B2CF9AE}" pid="4" name="KSOProductBuildVer">
    <vt:lpwstr>2052-12.1.0.20784</vt:lpwstr>
  </property>
  <property fmtid="{D5CDD505-2E9C-101B-9397-08002B2CF9AE}" pid="5" name="KSOTemplateDocerSaveRecord">
    <vt:lpwstr>eyJoZGlkIjoiNGE3OWVhYTU0MzZhZWI3ZGFhYzI4YTYzNTg5YzE1NWUiLCJ1c2VySWQiOiIzMTc3NjI1MzMifQ==</vt:lpwstr>
  </property>
  <property fmtid="{D5CDD505-2E9C-101B-9397-08002B2CF9AE}" pid="6" name="GrammarlyDocumentId">
    <vt:lpwstr>043ed59e3b40a28548f8c35a5fcd20ed4dee67117e75e926b20280b5434cfdf9</vt:lpwstr>
  </property>
</Properties>
</file>